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643A" w14:textId="77777777" w:rsidR="00187A76" w:rsidRPr="00E76774" w:rsidRDefault="00187A76" w:rsidP="00187A76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 w:rsidRPr="00E76774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AGENDA</w:t>
      </w:r>
    </w:p>
    <w:p w14:paraId="7EB3DC6F" w14:textId="77777777" w:rsidR="00187A76" w:rsidRPr="00E76774" w:rsidRDefault="00187A76" w:rsidP="00187A7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551C8695" w14:textId="77777777" w:rsidR="00187A76" w:rsidRPr="00E76774" w:rsidRDefault="00187A76" w:rsidP="00187A76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</w:pPr>
      <w:r w:rsidRPr="00E76774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Rolling Knolls Landfill Superfund Site </w:t>
      </w:r>
      <w:r w:rsidRPr="00E76774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br/>
        <w:t>Community Advisory Group Meeting</w:t>
      </w:r>
    </w:p>
    <w:p w14:paraId="4263F080" w14:textId="77777777" w:rsidR="00187A76" w:rsidRPr="00E76774" w:rsidRDefault="00187A76" w:rsidP="00187A76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Monday, September 23, 2019</w:t>
      </w:r>
    </w:p>
    <w:p w14:paraId="0F0E2755" w14:textId="77777777" w:rsidR="00187A76" w:rsidRPr="00E76774" w:rsidRDefault="00187A76" w:rsidP="00187A76">
      <w:pPr>
        <w:spacing w:after="0" w:line="240" w:lineRule="auto"/>
        <w:ind w:left="1170" w:hanging="1170"/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 w:rsidRPr="00E76774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6:00 pm – 8:00 pm</w:t>
      </w:r>
    </w:p>
    <w:p w14:paraId="2D07B0A3" w14:textId="1B101F01" w:rsidR="00187A76" w:rsidRDefault="00187A76" w:rsidP="00187A76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 w:rsidRPr="00E76774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  <w:t>Harding Township Library</w:t>
      </w:r>
      <w:r w:rsidRPr="00E76774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  <w:t>19 Blue Mill Road, New Vernon, New Jersey</w:t>
      </w:r>
    </w:p>
    <w:p w14:paraId="54822F45" w14:textId="215C55F7" w:rsidR="00187A76" w:rsidRDefault="00187A76" w:rsidP="00187A76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</w:p>
    <w:p w14:paraId="54C39D3D" w14:textId="7B86B58F" w:rsidR="008352D0" w:rsidRPr="008352D0" w:rsidRDefault="008352D0" w:rsidP="008352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Explanation of Report for Department of Interior entitled Rolling Knolls Landfill Superfund Site Feasibility Study Assessment, Preston Sowell, </w:t>
      </w:r>
      <w:proofErr w:type="spellStart"/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Geotic</w:t>
      </w:r>
      <w:proofErr w:type="spellEnd"/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 Solutions LLC.  </w:t>
      </w:r>
      <w:r w:rsidRPr="0018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The objective of this assessment is to evaluate the effectiveness of remedial action alternatives identified in the draft FS as they relate to the impacts on the Refuge.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  Report attached, please review in advance of meeting.</w:t>
      </w:r>
      <w:bookmarkStart w:id="0" w:name="_GoBack"/>
      <w:bookmarkEnd w:id="0"/>
    </w:p>
    <w:p w14:paraId="4D0CE55C" w14:textId="7594490E" w:rsidR="003C6D99" w:rsidRDefault="003C6D99" w:rsidP="003C6D9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Current site zoning and area of need of redevelopment designation, Frank </w:t>
      </w:r>
      <w:proofErr w:type="spellStart"/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Banisch</w:t>
      </w:r>
      <w:proofErr w:type="spellEnd"/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, Chatham Township Planner.</w:t>
      </w:r>
    </w:p>
    <w:p w14:paraId="6E5AADC8" w14:textId="1083D3BE" w:rsidR="00187A76" w:rsidRDefault="003C6D99" w:rsidP="00187A76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Overview</w:t>
      </w:r>
      <w:r w:rsidR="0018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 of Natural Resource Damage Assessment process, 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Kim Childe, </w:t>
      </w:r>
      <w:r w:rsidR="0018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Department of Interior.</w:t>
      </w:r>
    </w:p>
    <w:p w14:paraId="586B6844" w14:textId="77777777" w:rsidR="00E94338" w:rsidRDefault="00E94338"/>
    <w:sectPr w:rsidR="00E9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6279"/>
    <w:multiLevelType w:val="hybridMultilevel"/>
    <w:tmpl w:val="6AD8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76"/>
    <w:rsid w:val="00187A76"/>
    <w:rsid w:val="003C6D99"/>
    <w:rsid w:val="008352D0"/>
    <w:rsid w:val="00E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F134"/>
  <w15:chartTrackingRefBased/>
  <w15:docId w15:val="{CC9BECAB-FF2E-47F3-91ED-04E6919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Rubin</dc:creator>
  <cp:keywords/>
  <dc:description/>
  <cp:lastModifiedBy>Sally Rubin</cp:lastModifiedBy>
  <cp:revision>2</cp:revision>
  <dcterms:created xsi:type="dcterms:W3CDTF">2019-09-17T18:00:00Z</dcterms:created>
  <dcterms:modified xsi:type="dcterms:W3CDTF">2019-09-17T18:00:00Z</dcterms:modified>
</cp:coreProperties>
</file>